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РЕШЕНИЕ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схода граждан в селе Матаки муниципального образования «Матакское сельское поселение»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Дрожжановского муниципального района Республики Татарстан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450" w:leader="none"/>
        </w:tabs>
        <w:spacing w:before="0" w:after="0"/>
        <w:ind w:right="-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19.11.2024 г.                                 село Матаки                                    № 1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схода граждан в населенном пункте Матаки муниципального образования «Матакское сельское поселение» Дрожжановского муниципального района Республики Татарстан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19 ноября 2025 года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12.1 Устава Матакского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Матакского сельского  поселения Дрожжановского муниципального района Республики Татарстан, утвержденным решением Совета Матакского сельского поселения от 02.10.2019 № 46/1, на основании данных счетной комиссии об итогах голосования 19 ноября 2025 года составили протокол о результатах схода граждан, состоявшегося 19 ноября 2025 года, согласно которому: 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x-none"/>
        </w:rPr>
        <w:t xml:space="preserve"> списки участников схода граждан на момент окончания голосования включено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321 </w:t>
      </w:r>
      <w:r>
        <w:rPr>
          <w:sz w:val="28"/>
          <w:szCs w:val="28"/>
          <w:lang w:val="x-none"/>
        </w:rPr>
        <w:t>участник схода граждан,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число участников схода граждан, принявших участие в голосовании</w:t>
      </w:r>
      <w:r>
        <w:rPr>
          <w:sz w:val="28"/>
          <w:szCs w:val="28"/>
        </w:rPr>
        <w:t xml:space="preserve"> – 165</w:t>
      </w:r>
      <w:r>
        <w:rPr>
          <w:sz w:val="28"/>
          <w:szCs w:val="28"/>
          <w:lang w:val="x-none"/>
        </w:rPr>
        <w:t xml:space="preserve"> что составляет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51,4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sz w:val="28"/>
          <w:szCs w:val="28"/>
        </w:rPr>
        <w:t xml:space="preserve">схода граждан </w:t>
      </w:r>
      <w:r>
        <w:rPr>
          <w:sz w:val="28"/>
          <w:szCs w:val="28"/>
          <w:lang w:val="x-none"/>
        </w:rPr>
        <w:t>распределились следующим образом: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за позицию «За» проголосовало </w:t>
      </w:r>
      <w:r>
        <w:rPr>
          <w:bCs/>
          <w:sz w:val="28"/>
          <w:szCs w:val="28"/>
        </w:rPr>
        <w:t>165</w:t>
      </w:r>
      <w:r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схода граждан, что составляет </w:t>
      </w:r>
      <w:r>
        <w:rPr>
          <w:bCs/>
          <w:sz w:val="28"/>
          <w:szCs w:val="28"/>
        </w:rPr>
        <w:t xml:space="preserve">100 </w:t>
      </w:r>
      <w:r>
        <w:rPr>
          <w:sz w:val="28"/>
          <w:szCs w:val="28"/>
        </w:rPr>
        <w:t xml:space="preserve">% участников схода граждан, принявших участие в голосовании; </w:t>
      </w:r>
      <w:r>
        <w:rPr>
          <w:sz w:val="28"/>
          <w:szCs w:val="28"/>
          <w:lang w:val="x-none"/>
        </w:rPr>
        <w:t>за позицию «</w:t>
      </w:r>
      <w:r>
        <w:rPr>
          <w:sz w:val="28"/>
          <w:szCs w:val="28"/>
        </w:rPr>
        <w:t>Против</w:t>
      </w:r>
      <w:r>
        <w:rPr>
          <w:sz w:val="28"/>
          <w:szCs w:val="28"/>
          <w:lang w:val="x-none"/>
        </w:rPr>
        <w:t>» проголосовал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0</w:t>
      </w:r>
      <w:r>
        <w:rPr>
          <w:sz w:val="28"/>
          <w:szCs w:val="28"/>
          <w:lang w:val="x-none"/>
        </w:rPr>
        <w:t>, что составляет </w:t>
      </w:r>
      <w:r>
        <w:rPr>
          <w:bCs/>
          <w:sz w:val="28"/>
          <w:szCs w:val="28"/>
        </w:rPr>
        <w:t>0 </w:t>
      </w:r>
      <w:r>
        <w:rPr>
          <w:sz w:val="28"/>
          <w:szCs w:val="28"/>
        </w:rPr>
        <w:t>%.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>На основании изложенного решили</w:t>
      </w:r>
      <w:r>
        <w:rPr>
          <w:sz w:val="28"/>
          <w:szCs w:val="28"/>
          <w:lang w:val="x-none"/>
        </w:rPr>
        <w:t>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1. Признать сход граждан в населенном пункте Матаки муниципального образования «Матакское сельское поселение» Дрожжановского муниципального района Республики Татарстан 19 ноября 2025 года </w:t>
      </w:r>
      <w:r>
        <w:rPr>
          <w:bCs/>
          <w:sz w:val="28"/>
          <w:szCs w:val="28"/>
        </w:rPr>
        <w:t>состоявшимся</w:t>
      </w:r>
      <w:r>
        <w:rPr>
          <w:sz w:val="28"/>
          <w:szCs w:val="28"/>
        </w:rPr>
        <w:t>, результаты схода граждан – действительными.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решение по вопросу: «Согласны ли вы на введение самообложения в 2026 году в сумме 1000 рублей с каждого совершеннолетнего жителя, зарегистрированного по месту жительства на территории населенного пункта Матаки Матакского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обеспечение первичных мер пожарной безопасности» </w:t>
      </w:r>
      <w:r>
        <w:rPr>
          <w:bCs/>
          <w:sz w:val="28"/>
          <w:szCs w:val="28"/>
        </w:rPr>
        <w:t>принятым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Ввести самообложение в 2026 году в сумме 1000 рублей с каждого совершеннолетнего жителя, зарегистрированного по месту жительства на территории населенного пункта Матаки Матакского сельского поселения Дрожжановского муниципального района Республики Татарстан и направить полученные средства на решение вопросов местного значения по выполнению следующих работ: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пункта;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обеспечение первичных мер пожарной безопасности.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Освободить от уплаты средств самообложения: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обнародовать на информационных стендах, расположенных по адресам: село Матаки, ул. Колхозная, дом 2, ул. Площадь Уганина, дом 27,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93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3406"/>
        <w:gridCol w:w="2696"/>
      </w:tblGrid>
      <w:tr>
        <w:trPr>
          <w:trHeight w:val="2103" w:hRule="atLeast"/>
        </w:trPr>
        <w:tc>
          <w:tcPr>
            <w:tcW w:w="3828" w:type="dxa"/>
            <w:tcBorders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Матакского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поселения,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председательствующий</w:t>
            </w:r>
          </w:p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сходе граждан</w:t>
            </w:r>
          </w:p>
        </w:tc>
        <w:tc>
          <w:tcPr>
            <w:tcW w:w="3406" w:type="dxa"/>
            <w:tcBorders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696" w:type="dxa"/>
            <w:tcBorders/>
          </w:tcPr>
          <w:p>
            <w:pPr>
              <w:pStyle w:val="NoSpacing"/>
              <w:spacing w:lineRule="auto" w:line="252"/>
              <w:jc w:val="both"/>
              <w:rPr>
                <w:rFonts w:ascii="Times New Roman" w:hAnsi="Times New Roman"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 w:eastAsia="" w:eastAsiaTheme="minorEastAsia"/>
                <w:sz w:val="28"/>
                <w:szCs w:val="28"/>
                <w:lang w:val="tt-RU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В.И. Шумилов</w:t>
            </w:r>
          </w:p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1e8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041e8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041e8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b663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97390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Без интервала Знак"/>
    <w:link w:val="NoSpacing"/>
    <w:uiPriority w:val="1"/>
    <w:qFormat/>
    <w:locked/>
    <w:rsid w:val="0083243f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041e8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97390"/>
    <w:pPr/>
    <w:rPr>
      <w:rFonts w:ascii="Segoe UI" w:hAnsi="Segoe UI" w:cs="Segoe UI"/>
      <w:sz w:val="18"/>
      <w:szCs w:val="18"/>
    </w:rPr>
  </w:style>
  <w:style w:type="paragraph" w:styleId="NoSpacing">
    <w:name w:val="No Spacing"/>
    <w:link w:val="Style15"/>
    <w:uiPriority w:val="1"/>
    <w:qFormat/>
    <w:rsid w:val="001a795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LibreOffice/25.2.3.2$Linux_X86_64 LibreOffice_project/520$Build-2</Application>
  <AppVersion>15.0000</AppVersion>
  <Pages>2</Pages>
  <Words>556</Words>
  <Characters>3936</Characters>
  <CharactersWithSpaces>4554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2021-11-19T12:25:00Z</dcterms:created>
  <dc:creator>Пользователь</dc:creator>
  <dc:description/>
  <dc:language>ru-RU</dc:language>
  <cp:lastModifiedBy/>
  <cp:lastPrinted>2020-12-02T13:57:00Z</cp:lastPrinted>
  <dcterms:modified xsi:type="dcterms:W3CDTF">2025-11-19T15:51:38Z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